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A6047" w14:textId="77777777" w:rsidR="001D08AA" w:rsidRPr="001D08AA" w:rsidRDefault="001D08AA" w:rsidP="001D08AA">
      <w:pPr>
        <w:pStyle w:val="Liststycke"/>
        <w:numPr>
          <w:ilvl w:val="0"/>
          <w:numId w:val="2"/>
        </w:numPr>
        <w:shd w:val="clear" w:color="auto" w:fill="FFFEFE"/>
        <w:spacing w:after="240" w:line="240" w:lineRule="auto"/>
        <w:rPr>
          <w:rFonts w:ascii="Arial" w:eastAsia="Times New Roman" w:hAnsi="Arial" w:cs="Arial"/>
          <w:color w:val="222222"/>
          <w:kern w:val="0"/>
          <w:lang w:eastAsia="sv-SE"/>
          <w14:ligatures w14:val="none"/>
        </w:rPr>
      </w:pPr>
      <w:r w:rsidRPr="0074249C">
        <w:rPr>
          <w:rFonts w:ascii="Arial" w:eastAsia="Times New Roman" w:hAnsi="Arial" w:cs="Arial"/>
          <w:b/>
          <w:bCs/>
          <w:color w:val="222222"/>
          <w:kern w:val="0"/>
          <w:lang w:eastAsia="sv-SE"/>
          <w14:ligatures w14:val="none"/>
        </w:rPr>
        <w:t>Likställighetsprincipen</w:t>
      </w:r>
      <w:r w:rsidRPr="001D08AA">
        <w:rPr>
          <w:rFonts w:ascii="Arial" w:eastAsia="Times New Roman" w:hAnsi="Arial" w:cs="Arial"/>
          <w:color w:val="222222"/>
          <w:kern w:val="0"/>
          <w:lang w:eastAsia="sv-SE"/>
          <w14:ligatures w14:val="none"/>
        </w:rPr>
        <w:t>, som uttrycks i 2 kap. 3 § kommunallagen, har betydelse för avgiftsuttaget i kommunal verksamhet:</w:t>
      </w:r>
    </w:p>
    <w:p w14:paraId="1A9C4DF9" w14:textId="77777777" w:rsidR="001D08AA" w:rsidRPr="0074249C" w:rsidRDefault="001D08AA" w:rsidP="001D08AA">
      <w:pPr>
        <w:pStyle w:val="Liststycke"/>
        <w:numPr>
          <w:ilvl w:val="0"/>
          <w:numId w:val="2"/>
        </w:numPr>
        <w:shd w:val="clear" w:color="auto" w:fill="FFFEFE"/>
        <w:spacing w:before="240" w:after="240" w:line="240" w:lineRule="auto"/>
        <w:ind w:right="150"/>
        <w:rPr>
          <w:rFonts w:ascii="Arial" w:eastAsia="Times New Roman" w:hAnsi="Arial" w:cs="Arial"/>
          <w:b/>
          <w:bCs/>
          <w:color w:val="222222"/>
          <w:kern w:val="0"/>
          <w:lang w:eastAsia="sv-SE"/>
          <w14:ligatures w14:val="none"/>
        </w:rPr>
      </w:pPr>
      <w:r w:rsidRPr="0074249C">
        <w:rPr>
          <w:rFonts w:ascii="Arial" w:eastAsia="Times New Roman" w:hAnsi="Arial" w:cs="Arial"/>
          <w:b/>
          <w:bCs/>
          <w:color w:val="222222"/>
          <w:kern w:val="0"/>
          <w:lang w:eastAsia="sv-SE"/>
          <w14:ligatures w14:val="none"/>
        </w:rPr>
        <w:t>Kommuner och landsting skall behandla sina medlemmar lika, om det inte finns sakliga skäl för något annat.</w:t>
      </w:r>
    </w:p>
    <w:p w14:paraId="79681C8D" w14:textId="77777777" w:rsidR="001D08AA" w:rsidRPr="001D08AA" w:rsidRDefault="001D08AA" w:rsidP="001D08AA">
      <w:pPr>
        <w:pStyle w:val="Liststycke"/>
        <w:numPr>
          <w:ilvl w:val="0"/>
          <w:numId w:val="2"/>
        </w:numPr>
        <w:shd w:val="clear" w:color="auto" w:fill="FFFEFE"/>
        <w:spacing w:after="240" w:line="240" w:lineRule="auto"/>
        <w:rPr>
          <w:rFonts w:ascii="Arial" w:eastAsia="Times New Roman" w:hAnsi="Arial" w:cs="Arial"/>
          <w:color w:val="222222"/>
          <w:kern w:val="0"/>
          <w:lang w:eastAsia="sv-SE"/>
          <w14:ligatures w14:val="none"/>
        </w:rPr>
      </w:pPr>
      <w:r w:rsidRPr="001D08AA">
        <w:rPr>
          <w:rFonts w:ascii="Arial" w:eastAsia="Times New Roman" w:hAnsi="Arial" w:cs="Arial"/>
          <w:color w:val="222222"/>
          <w:kern w:val="0"/>
          <w:lang w:eastAsia="sv-SE"/>
          <w14:ligatures w14:val="none"/>
        </w:rPr>
        <w:t xml:space="preserve">Likställighetsprincipen innebär vid fördelning av avgifter att lika avgift ska utgå för lika prestation eller att kommunmedlemmar som befinner sig i motsvarande läge ska betala samma avgifter. Kommunen får </w:t>
      </w:r>
      <w:proofErr w:type="gramStart"/>
      <w:r w:rsidRPr="001D08AA">
        <w:rPr>
          <w:rFonts w:ascii="Arial" w:eastAsia="Times New Roman" w:hAnsi="Arial" w:cs="Arial"/>
          <w:color w:val="222222"/>
          <w:kern w:val="0"/>
          <w:lang w:eastAsia="sv-SE"/>
          <w14:ligatures w14:val="none"/>
        </w:rPr>
        <w:t>t.ex.</w:t>
      </w:r>
      <w:proofErr w:type="gramEnd"/>
      <w:r w:rsidRPr="001D08AA">
        <w:rPr>
          <w:rFonts w:ascii="Arial" w:eastAsia="Times New Roman" w:hAnsi="Arial" w:cs="Arial"/>
          <w:color w:val="222222"/>
          <w:kern w:val="0"/>
          <w:lang w:eastAsia="sv-SE"/>
          <w14:ligatures w14:val="none"/>
        </w:rPr>
        <w:t xml:space="preserve"> inte ta ut andra avgifter av fritidsboende än av permanentboende för samma handläggning. Likställighetsprincipen medger heller ingen inkomstfördelande verksamhet. Däremot finns det inget hinder mot att differentiera avgifterna med hänsyn till kostnadsskillnader mellan olika prestationer. Inom vissa ramar tillåts även schabloniserade taxor (se prop. 1993/94:188 sid. 87 och Dalman </w:t>
      </w:r>
      <w:proofErr w:type="gramStart"/>
      <w:r w:rsidRPr="001D08AA">
        <w:rPr>
          <w:rFonts w:ascii="Arial" w:eastAsia="Times New Roman" w:hAnsi="Arial" w:cs="Arial"/>
          <w:color w:val="222222"/>
          <w:kern w:val="0"/>
          <w:lang w:eastAsia="sv-SE"/>
          <w14:ligatures w14:val="none"/>
        </w:rPr>
        <w:t>m.fl.</w:t>
      </w:r>
      <w:proofErr w:type="gramEnd"/>
      <w:r w:rsidRPr="001D08AA">
        <w:rPr>
          <w:rFonts w:ascii="Arial" w:eastAsia="Times New Roman" w:hAnsi="Arial" w:cs="Arial"/>
          <w:color w:val="222222"/>
          <w:kern w:val="0"/>
          <w:lang w:eastAsia="sv-SE"/>
          <w14:ligatures w14:val="none"/>
        </w:rPr>
        <w:t xml:space="preserve"> Kommunallagen med kommentarer och praxis, 2011, Adda (tidigare SKL </w:t>
      </w:r>
      <w:proofErr w:type="spellStart"/>
      <w:r w:rsidRPr="001D08AA">
        <w:rPr>
          <w:rFonts w:ascii="Arial" w:eastAsia="Times New Roman" w:hAnsi="Arial" w:cs="Arial"/>
          <w:color w:val="222222"/>
          <w:kern w:val="0"/>
          <w:lang w:eastAsia="sv-SE"/>
          <w14:ligatures w14:val="none"/>
        </w:rPr>
        <w:t>Kommentus</w:t>
      </w:r>
      <w:proofErr w:type="spellEnd"/>
      <w:r w:rsidRPr="001D08AA">
        <w:rPr>
          <w:rFonts w:ascii="Arial" w:eastAsia="Times New Roman" w:hAnsi="Arial" w:cs="Arial"/>
          <w:color w:val="222222"/>
          <w:kern w:val="0"/>
          <w:lang w:eastAsia="sv-SE"/>
          <w14:ligatures w14:val="none"/>
        </w:rPr>
        <w:t>), sid. 75).</w:t>
      </w:r>
    </w:p>
    <w:p w14:paraId="2A1C37EC" w14:textId="77777777" w:rsidR="001D08AA" w:rsidRPr="001D08AA" w:rsidRDefault="001D08AA" w:rsidP="001D08AA">
      <w:pPr>
        <w:pStyle w:val="Liststycke"/>
        <w:numPr>
          <w:ilvl w:val="0"/>
          <w:numId w:val="2"/>
        </w:numPr>
        <w:shd w:val="clear" w:color="auto" w:fill="FFFEFE"/>
        <w:spacing w:after="240" w:line="240" w:lineRule="auto"/>
        <w:rPr>
          <w:rFonts w:ascii="Arial" w:eastAsia="Times New Roman" w:hAnsi="Arial" w:cs="Arial"/>
          <w:color w:val="222222"/>
          <w:kern w:val="0"/>
          <w:lang w:eastAsia="sv-SE"/>
          <w14:ligatures w14:val="none"/>
        </w:rPr>
      </w:pPr>
      <w:r w:rsidRPr="001D08AA">
        <w:rPr>
          <w:rFonts w:ascii="Arial" w:eastAsia="Times New Roman" w:hAnsi="Arial" w:cs="Arial"/>
          <w:color w:val="222222"/>
          <w:kern w:val="0"/>
          <w:lang w:eastAsia="sv-SE"/>
          <w14:ligatures w14:val="none"/>
        </w:rPr>
        <w:t>När det gäller utformning av avgifter är olika modeller tänkbara, bl. a. avgifter kopplade direkt till kommunens kostnader såsom timtaxa eller schabloniserade avgifter såsom ansöknings- eller prövningsavgifter liksom fasta avgifter för tillsyn. Regeringen har anfört att en viss schablonisering av avgifterna är nödvändig men har samtidigt framhållit att avgiften måste stå i rimlig proportion till de kostnader som den avgiftsbetalande åsamkar myndigheten (prop. 1997/98:45 del 2 sid. 288, se även diskussionen om utformningen av de statliga avgifterna i SOU 1998:35 sid. 390 ff.).</w:t>
      </w:r>
    </w:p>
    <w:p w14:paraId="6387C814" w14:textId="0DEEB01D" w:rsidR="00E67036" w:rsidRPr="001D08AA" w:rsidRDefault="00E67036" w:rsidP="001D08AA">
      <w:pPr>
        <w:pStyle w:val="Liststycke"/>
        <w:rPr>
          <w:rFonts w:ascii="Arial" w:hAnsi="Arial" w:cs="Arial"/>
        </w:rPr>
      </w:pPr>
    </w:p>
    <w:p w14:paraId="6E42CD9C" w14:textId="6425FBE1" w:rsidR="00E67036" w:rsidRPr="001D08AA" w:rsidRDefault="00F04A22" w:rsidP="001D08AA">
      <w:pPr>
        <w:pStyle w:val="Liststycke"/>
        <w:numPr>
          <w:ilvl w:val="0"/>
          <w:numId w:val="2"/>
        </w:numPr>
        <w:rPr>
          <w:rFonts w:ascii="Arial" w:hAnsi="Arial" w:cs="Arial"/>
        </w:rPr>
      </w:pPr>
      <w:r w:rsidRPr="001D08AA">
        <w:rPr>
          <w:rFonts w:ascii="Arial" w:hAnsi="Arial" w:cs="Arial"/>
        </w:rPr>
        <w:t xml:space="preserve">Det vi behöver veta är att om en tjänst styrks av lag så </w:t>
      </w:r>
      <w:r w:rsidRPr="001D08AA">
        <w:rPr>
          <w:rFonts w:ascii="Arial" w:hAnsi="Arial" w:cs="Arial"/>
          <w:b/>
          <w:bCs/>
        </w:rPr>
        <w:t>måste</w:t>
      </w:r>
      <w:r w:rsidRPr="001D08AA">
        <w:rPr>
          <w:rFonts w:ascii="Arial" w:hAnsi="Arial" w:cs="Arial"/>
        </w:rPr>
        <w:t xml:space="preserve"> den utföras, det är kommunens skyldighet – Vår skyldighet när det gäller våra tre kommuner. </w:t>
      </w:r>
      <w:r w:rsidR="00E67036" w:rsidRPr="001D08AA">
        <w:rPr>
          <w:rFonts w:ascii="Arial" w:hAnsi="Arial" w:cs="Arial"/>
        </w:rPr>
        <w:t>Detta utan undantag.</w:t>
      </w:r>
      <w:r w:rsidR="001D08AA">
        <w:rPr>
          <w:rFonts w:ascii="Arial" w:hAnsi="Arial" w:cs="Arial"/>
        </w:rPr>
        <w:br/>
      </w:r>
    </w:p>
    <w:p w14:paraId="44CE2A5F" w14:textId="58765435" w:rsidR="00F04A22" w:rsidRPr="001D08AA" w:rsidRDefault="00F04A22" w:rsidP="00F04A22">
      <w:pPr>
        <w:pStyle w:val="Liststycke"/>
        <w:numPr>
          <w:ilvl w:val="0"/>
          <w:numId w:val="1"/>
        </w:numPr>
        <w:rPr>
          <w:rFonts w:ascii="Arial" w:hAnsi="Arial" w:cs="Arial"/>
        </w:rPr>
      </w:pPr>
      <w:r w:rsidRPr="001D08AA">
        <w:rPr>
          <w:rFonts w:ascii="Arial" w:hAnsi="Arial" w:cs="Arial"/>
        </w:rPr>
        <w:t>Återfyllnad vid tex slamtömning är ej ett kommunalkrav som stöds av miljöbalken och därför</w:t>
      </w:r>
      <w:r w:rsidR="008362A3">
        <w:rPr>
          <w:rFonts w:ascii="Arial" w:hAnsi="Arial" w:cs="Arial"/>
        </w:rPr>
        <w:t xml:space="preserve"> vi</w:t>
      </w:r>
      <w:r w:rsidRPr="001D08AA">
        <w:rPr>
          <w:rFonts w:ascii="Arial" w:hAnsi="Arial" w:cs="Arial"/>
        </w:rPr>
        <w:t xml:space="preserve"> inte debitera kunder för en sådan tjänst.</w:t>
      </w:r>
    </w:p>
    <w:p w14:paraId="343C567B" w14:textId="77777777" w:rsidR="00F04A22" w:rsidRPr="001D08AA" w:rsidRDefault="00F04A22" w:rsidP="00F04A22">
      <w:pPr>
        <w:pStyle w:val="Liststycke"/>
        <w:rPr>
          <w:rFonts w:ascii="Arial" w:hAnsi="Arial" w:cs="Arial"/>
        </w:rPr>
      </w:pPr>
    </w:p>
    <w:p w14:paraId="09CE699B"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Grundavgift kan tas ut på varje hushåll på samma fastighet.</w:t>
      </w:r>
    </w:p>
    <w:p w14:paraId="4EB60645" w14:textId="040AB1AE" w:rsidR="00F04A22" w:rsidRPr="001D08AA" w:rsidRDefault="00F04A22" w:rsidP="00F04A22">
      <w:pPr>
        <w:pStyle w:val="Liststycke"/>
        <w:numPr>
          <w:ilvl w:val="0"/>
          <w:numId w:val="1"/>
        </w:numPr>
        <w:rPr>
          <w:rFonts w:ascii="Arial" w:hAnsi="Arial" w:cs="Arial"/>
        </w:rPr>
      </w:pPr>
      <w:r w:rsidRPr="001D08AA">
        <w:rPr>
          <w:rFonts w:ascii="Arial" w:hAnsi="Arial" w:cs="Arial"/>
        </w:rPr>
        <w:t>Om felasorteringsavgift ska tas ut ska de</w:t>
      </w:r>
      <w:r w:rsidR="008362A3">
        <w:rPr>
          <w:rFonts w:ascii="Arial" w:hAnsi="Arial" w:cs="Arial"/>
        </w:rPr>
        <w:t xml:space="preserve">n </w:t>
      </w:r>
      <w:r w:rsidRPr="001D08AA">
        <w:rPr>
          <w:rFonts w:ascii="Arial" w:hAnsi="Arial" w:cs="Arial"/>
        </w:rPr>
        <w:t>beskrivas i taxa.</w:t>
      </w:r>
    </w:p>
    <w:p w14:paraId="381B704A"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 xml:space="preserve">Den som är avgiftsskyldig ska stå beskrivet i både föreskrift </w:t>
      </w:r>
      <w:r w:rsidRPr="001D08AA">
        <w:rPr>
          <w:rFonts w:ascii="Arial" w:hAnsi="Arial" w:cs="Arial"/>
          <w:b/>
          <w:bCs/>
        </w:rPr>
        <w:t>och</w:t>
      </w:r>
      <w:r w:rsidRPr="001D08AA">
        <w:rPr>
          <w:rFonts w:ascii="Arial" w:hAnsi="Arial" w:cs="Arial"/>
        </w:rPr>
        <w:t xml:space="preserve"> taxa.</w:t>
      </w:r>
    </w:p>
    <w:p w14:paraId="0FAF9DF4"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Det går</w:t>
      </w:r>
      <w:r w:rsidRPr="001D08AA">
        <w:rPr>
          <w:rFonts w:ascii="Arial" w:hAnsi="Arial" w:cs="Arial"/>
          <w:b/>
          <w:bCs/>
        </w:rPr>
        <w:t xml:space="preserve"> inte</w:t>
      </w:r>
      <w:r w:rsidRPr="001D08AA">
        <w:rPr>
          <w:rFonts w:ascii="Arial" w:hAnsi="Arial" w:cs="Arial"/>
        </w:rPr>
        <w:t xml:space="preserve"> att överföra tillsynsmyndiga beslutanderätt till bolag. </w:t>
      </w:r>
      <w:r w:rsidRPr="001D08AA">
        <w:rPr>
          <w:rFonts w:ascii="Arial" w:hAnsi="Arial" w:cs="Arial"/>
        </w:rPr>
        <w:br/>
      </w:r>
    </w:p>
    <w:p w14:paraId="5F4B4FAA" w14:textId="7D404F74" w:rsidR="00F04A22" w:rsidRPr="001D08AA" w:rsidRDefault="00F04A22" w:rsidP="00F04A22">
      <w:pPr>
        <w:pStyle w:val="Liststycke"/>
        <w:numPr>
          <w:ilvl w:val="0"/>
          <w:numId w:val="1"/>
        </w:numPr>
        <w:rPr>
          <w:rFonts w:ascii="Arial" w:hAnsi="Arial" w:cs="Arial"/>
        </w:rPr>
      </w:pPr>
      <w:r w:rsidRPr="001D08AA">
        <w:rPr>
          <w:rFonts w:ascii="Arial" w:hAnsi="Arial" w:cs="Arial"/>
        </w:rPr>
        <w:t xml:space="preserve">Allt som styrs av taxor måste tas till beslut av kommunfullmäktige. </w:t>
      </w:r>
      <w:r w:rsidRPr="001D08AA">
        <w:rPr>
          <w:rFonts w:ascii="Arial" w:hAnsi="Arial" w:cs="Arial"/>
        </w:rPr>
        <w:br/>
        <w:t xml:space="preserve">Om taxa strider mot grundlagen kan domstol bortse från den. Tex om otillåten instans (som vi själva på SVAAB) har beslutat taxan så gäller inte den. </w:t>
      </w:r>
      <w:r w:rsidRPr="001D08AA">
        <w:rPr>
          <w:rFonts w:ascii="Arial" w:hAnsi="Arial" w:cs="Arial"/>
        </w:rPr>
        <w:br/>
      </w:r>
    </w:p>
    <w:p w14:paraId="673C052C" w14:textId="546EEF8A" w:rsidR="00F04A22" w:rsidRPr="001D08AA" w:rsidRDefault="00F04A22" w:rsidP="00F04A22">
      <w:pPr>
        <w:pStyle w:val="Liststycke"/>
        <w:numPr>
          <w:ilvl w:val="0"/>
          <w:numId w:val="1"/>
        </w:numPr>
        <w:rPr>
          <w:rFonts w:ascii="Arial" w:hAnsi="Arial" w:cs="Arial"/>
        </w:rPr>
      </w:pPr>
      <w:r w:rsidRPr="001D08AA">
        <w:rPr>
          <w:rFonts w:ascii="Arial" w:hAnsi="Arial" w:cs="Arial"/>
        </w:rPr>
        <w:t xml:space="preserve">Avgiftsskyldighet inträder vid överlåtelse. Fasta kostnader gällande VA och grundavgifter för avfall, och när avfall uppstår på fastighet som nyttjas. Betalningsskyldighet ska stå med i både taxa och föreskrift. </w:t>
      </w:r>
      <w:r w:rsidR="000B1BDA" w:rsidRPr="001D08AA">
        <w:rPr>
          <w:rFonts w:ascii="Arial" w:hAnsi="Arial" w:cs="Arial"/>
        </w:rPr>
        <w:br/>
      </w:r>
      <w:r w:rsidRPr="001D08AA">
        <w:rPr>
          <w:rFonts w:ascii="Arial" w:hAnsi="Arial" w:cs="Arial"/>
        </w:rPr>
        <w:br/>
      </w:r>
      <w:r w:rsidR="000B1BDA" w:rsidRPr="001D08AA">
        <w:rPr>
          <w:rFonts w:ascii="Arial" w:hAnsi="Arial" w:cs="Arial"/>
          <w:b/>
          <w:bCs/>
        </w:rPr>
        <w:t>Bestämmelser om kommunala avgifter i kommunallagen</w:t>
      </w:r>
    </w:p>
    <w:p w14:paraId="049F4FB7" w14:textId="14526278" w:rsidR="00F04A22" w:rsidRPr="001D08AA" w:rsidRDefault="00F04A22" w:rsidP="00BF1473">
      <w:pPr>
        <w:pStyle w:val="Liststycke"/>
        <w:numPr>
          <w:ilvl w:val="0"/>
          <w:numId w:val="1"/>
        </w:numPr>
        <w:rPr>
          <w:rFonts w:ascii="Arial" w:hAnsi="Arial" w:cs="Arial"/>
        </w:rPr>
      </w:pPr>
      <w:r w:rsidRPr="001D08AA">
        <w:rPr>
          <w:rFonts w:ascii="Arial" w:hAnsi="Arial" w:cs="Arial"/>
        </w:rPr>
        <w:t>Rätt att ta ut avgifter (2 kap 5§)</w:t>
      </w:r>
      <w:r w:rsidR="000B1BDA" w:rsidRPr="001D08AA">
        <w:rPr>
          <w:rFonts w:ascii="Arial" w:hAnsi="Arial" w:cs="Arial"/>
        </w:rPr>
        <w:t xml:space="preserve"> </w:t>
      </w:r>
      <w:r w:rsidR="00BF7195" w:rsidRPr="001D08AA">
        <w:rPr>
          <w:rFonts w:ascii="Arial" w:hAnsi="Arial" w:cs="Arial"/>
        </w:rPr>
        <w:t>kommuner och landsting får ta ut avgifter för tjänster och nyttigheter som de tillhandahåller. För tjänster eller nyttigheter som de är skyldiga att tillhandahålla får dock avgifter endast tas ut om det följer av lag eller annan författning.</w:t>
      </w:r>
    </w:p>
    <w:p w14:paraId="1CF1F0BD" w14:textId="76EFEA3E" w:rsidR="00F04A22" w:rsidRPr="001D08AA" w:rsidRDefault="00F04A22" w:rsidP="00BF1473">
      <w:pPr>
        <w:pStyle w:val="Liststycke"/>
        <w:numPr>
          <w:ilvl w:val="0"/>
          <w:numId w:val="1"/>
        </w:numPr>
        <w:rPr>
          <w:rFonts w:ascii="Arial" w:hAnsi="Arial" w:cs="Arial"/>
        </w:rPr>
      </w:pPr>
      <w:r w:rsidRPr="001D08AA">
        <w:rPr>
          <w:rFonts w:ascii="Arial" w:hAnsi="Arial" w:cs="Arial"/>
        </w:rPr>
        <w:t>Likställighetsprincipen (</w:t>
      </w:r>
      <w:r w:rsidR="00BF7195" w:rsidRPr="001D08AA">
        <w:rPr>
          <w:rFonts w:ascii="Arial" w:hAnsi="Arial" w:cs="Arial"/>
        </w:rPr>
        <w:t>2 kap. 3 §) principen har betydelse för avgiftsuttaget i kommunal verksamhet: Kommuner och landsting skall behandla sina medlemmar lika, om det inte finns sakliga skäl för något annat.</w:t>
      </w:r>
    </w:p>
    <w:p w14:paraId="08AD44AD" w14:textId="15B8C1F7" w:rsidR="00F04A22" w:rsidRPr="001D08AA" w:rsidRDefault="00F04A22" w:rsidP="00BF1473">
      <w:pPr>
        <w:pStyle w:val="Liststycke"/>
        <w:numPr>
          <w:ilvl w:val="0"/>
          <w:numId w:val="1"/>
        </w:numPr>
        <w:rPr>
          <w:rFonts w:ascii="Arial" w:hAnsi="Arial" w:cs="Arial"/>
        </w:rPr>
      </w:pPr>
      <w:r w:rsidRPr="001D08AA">
        <w:rPr>
          <w:rFonts w:ascii="Arial" w:hAnsi="Arial" w:cs="Arial"/>
        </w:rPr>
        <w:t>Självkostnadsprincipen (2 kap 6 §)</w:t>
      </w:r>
      <w:r w:rsidR="00BF7195" w:rsidRPr="001D08AA">
        <w:rPr>
          <w:rFonts w:ascii="Arial" w:hAnsi="Arial" w:cs="Arial"/>
        </w:rPr>
        <w:t xml:space="preserve"> Kommuner och landsting får inte ta ut högre avgifter än som svarar mot kostnaderna för de tjänster eller nyttigheter som kommunen eller landstinget tillhandahåller.</w:t>
      </w:r>
    </w:p>
    <w:p w14:paraId="7A30554B" w14:textId="64A11A07" w:rsidR="00F04A22" w:rsidRPr="001D08AA" w:rsidRDefault="00BF1473" w:rsidP="00BF1473">
      <w:pPr>
        <w:pStyle w:val="Liststycke"/>
        <w:numPr>
          <w:ilvl w:val="0"/>
          <w:numId w:val="1"/>
        </w:numPr>
        <w:rPr>
          <w:rFonts w:ascii="Arial" w:hAnsi="Arial" w:cs="Arial"/>
        </w:rPr>
      </w:pPr>
      <w:r w:rsidRPr="001D08AA">
        <w:rPr>
          <w:rFonts w:ascii="Arial" w:hAnsi="Arial" w:cs="Arial"/>
        </w:rPr>
        <w:lastRenderedPageBreak/>
        <w:t xml:space="preserve">Bestämmelser om taxa hittas i föreskrifter om avgifter 27 kap i </w:t>
      </w:r>
      <w:r w:rsidRPr="008362A3">
        <w:rPr>
          <w:rFonts w:ascii="Arial" w:hAnsi="Arial" w:cs="Arial"/>
          <w:b/>
          <w:bCs/>
        </w:rPr>
        <w:t>Miljöbalken</w:t>
      </w:r>
      <w:r w:rsidRPr="001D08AA">
        <w:rPr>
          <w:rFonts w:ascii="Arial" w:hAnsi="Arial" w:cs="Arial"/>
        </w:rPr>
        <w:br/>
      </w:r>
    </w:p>
    <w:p w14:paraId="2B452425"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Det är tillåtet att utföra debitering för felsortering om det finns en taxa för det och det är tillåtet att ha en sådan taxa (då felsorteringsavgift är relativt nytt). Förvaltningsrätten i Karlstad har i ett laglighetsprövningsmål godtagit avgift för felsortering inriktat på fastighetsägare.</w:t>
      </w:r>
      <w:r w:rsidRPr="001D08AA">
        <w:rPr>
          <w:rFonts w:ascii="Arial" w:hAnsi="Arial" w:cs="Arial"/>
        </w:rPr>
        <w:br/>
      </w:r>
    </w:p>
    <w:p w14:paraId="168869B3" w14:textId="252CF81B" w:rsidR="00F04A22" w:rsidRPr="001D08AA" w:rsidRDefault="00F04A22" w:rsidP="00F04A22">
      <w:pPr>
        <w:pStyle w:val="Liststycke"/>
        <w:numPr>
          <w:ilvl w:val="0"/>
          <w:numId w:val="1"/>
        </w:numPr>
        <w:rPr>
          <w:rFonts w:ascii="Arial" w:hAnsi="Arial" w:cs="Arial"/>
        </w:rPr>
      </w:pPr>
      <w:r w:rsidRPr="001D08AA">
        <w:rPr>
          <w:rFonts w:ascii="Arial" w:hAnsi="Arial" w:cs="Arial"/>
        </w:rPr>
        <w:t xml:space="preserve">När ska avgifter betalas? Det finns ingen särskild reglering för det utan man kan ha varannan, kvartal eller varje månad. </w:t>
      </w:r>
      <w:r w:rsidRPr="001D08AA">
        <w:rPr>
          <w:rFonts w:ascii="Arial" w:hAnsi="Arial" w:cs="Arial"/>
        </w:rPr>
        <w:br/>
        <w:t>Betalningsskyldighet ligger hos fastighetsägare fastighetsinnehavare enligt Miljöbalken 15 kapitlet. Betalningsansvar</w:t>
      </w:r>
      <w:r w:rsidRPr="001D08AA">
        <w:rPr>
          <w:rFonts w:ascii="Arial" w:hAnsi="Arial" w:cs="Arial"/>
          <w:i/>
          <w:iCs/>
        </w:rPr>
        <w:t xml:space="preserve"> kan</w:t>
      </w:r>
      <w:r w:rsidRPr="001D08AA">
        <w:rPr>
          <w:rFonts w:ascii="Arial" w:hAnsi="Arial" w:cs="Arial"/>
        </w:rPr>
        <w:t xml:space="preserve"> överlåtas åt annan, men då ska det stå tydligt </w:t>
      </w:r>
      <w:r w:rsidR="008734BD" w:rsidRPr="001D08AA">
        <w:rPr>
          <w:rFonts w:ascii="Arial" w:hAnsi="Arial" w:cs="Arial"/>
        </w:rPr>
        <w:t>ut</w:t>
      </w:r>
      <w:r w:rsidRPr="001D08AA">
        <w:rPr>
          <w:rFonts w:ascii="Arial" w:hAnsi="Arial" w:cs="Arial"/>
        </w:rPr>
        <w:t>skrivet i taxa</w:t>
      </w:r>
      <w:r w:rsidR="008734BD" w:rsidRPr="001D08AA">
        <w:rPr>
          <w:rFonts w:ascii="Arial" w:hAnsi="Arial" w:cs="Arial"/>
        </w:rPr>
        <w:t xml:space="preserve">. </w:t>
      </w:r>
      <w:r w:rsidRPr="001D08AA">
        <w:rPr>
          <w:rFonts w:ascii="Arial" w:hAnsi="Arial" w:cs="Arial"/>
        </w:rPr>
        <w:t>Överför betalningsskyldighet, dvs förfarande i taxan.</w:t>
      </w:r>
    </w:p>
    <w:p w14:paraId="0A4BABBB" w14:textId="77777777" w:rsidR="00F04A22" w:rsidRPr="001D08AA" w:rsidRDefault="00F04A22" w:rsidP="00F04A22">
      <w:pPr>
        <w:pStyle w:val="Liststycke"/>
        <w:rPr>
          <w:rFonts w:ascii="Arial" w:hAnsi="Arial" w:cs="Arial"/>
        </w:rPr>
      </w:pPr>
    </w:p>
    <w:p w14:paraId="18DC4DBB" w14:textId="3311C747" w:rsidR="00F04A22" w:rsidRPr="001D08AA" w:rsidRDefault="00F04A22" w:rsidP="00AC3ACF">
      <w:pPr>
        <w:pStyle w:val="Liststycke"/>
        <w:numPr>
          <w:ilvl w:val="0"/>
          <w:numId w:val="1"/>
        </w:numPr>
        <w:rPr>
          <w:rFonts w:ascii="Arial" w:hAnsi="Arial" w:cs="Arial"/>
        </w:rPr>
      </w:pPr>
      <w:r w:rsidRPr="001D08AA">
        <w:rPr>
          <w:rFonts w:ascii="Arial" w:hAnsi="Arial" w:cs="Arial"/>
        </w:rPr>
        <w:t xml:space="preserve">Faktureringsavgifter påminnelseavgifter stöds inte av miljöbalken och är därför inte en avgift som tvunget ska läggas på kunds faktura. Dock vad jag kan förstå max 60 kr. Det ska även var tydligt skrivet att en sådan avgift tas ut.  En påminnelse behöver vi inte skicka ut det finns både för- och nackdelar med det. Skickas det ut ska den innehålla fordran, tidsfrist och upplysning om inlämnande till inkassofirma om det förekommer. Dock ingen annan påtryckning. </w:t>
      </w:r>
    </w:p>
    <w:p w14:paraId="569EC01F" w14:textId="77777777" w:rsidR="00F04A22" w:rsidRPr="001D08AA" w:rsidRDefault="00F04A22" w:rsidP="00F04A22">
      <w:pPr>
        <w:pStyle w:val="Liststycke"/>
        <w:rPr>
          <w:rFonts w:ascii="Arial" w:hAnsi="Arial" w:cs="Arial"/>
        </w:rPr>
      </w:pPr>
    </w:p>
    <w:p w14:paraId="233D4027"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Inkassokrav ska alltid var skriftligt och innehålla (i vårt fall) kundens namn, grund för fordran, kapitalbelopp, ränta och kostnader skälig tidsfrist för betalning eller invändning mot kravet. Som jag förstod det ska tidsfrist vara minst 8 dagar och 14 dagar vid vattenavstängning.</w:t>
      </w:r>
      <w:r w:rsidRPr="001D08AA">
        <w:rPr>
          <w:rFonts w:ascii="Arial" w:hAnsi="Arial" w:cs="Arial"/>
        </w:rPr>
        <w:br/>
        <w:t xml:space="preserve">Sedan ska det råda god inkassosed. Inkassoverksamhet ska bedrivas enligt god sed. Gäldenären ska inte vållas onödig skada eller utsättas för otillbörlig påtryckning eller annan otillbörlig inkassoåtgärd. Vad som är god inkassosed framgår av lag, praxis och allmänna råd (Datainspektionen, Finansinspektionen)     </w:t>
      </w:r>
    </w:p>
    <w:p w14:paraId="7FD2D84E" w14:textId="77777777" w:rsidR="00F04A22" w:rsidRPr="001D08AA" w:rsidRDefault="00F04A22" w:rsidP="00F04A22">
      <w:pPr>
        <w:pStyle w:val="Liststycke"/>
        <w:rPr>
          <w:rFonts w:ascii="Arial" w:hAnsi="Arial" w:cs="Arial"/>
        </w:rPr>
      </w:pPr>
    </w:p>
    <w:p w14:paraId="56C114C2" w14:textId="552643D5" w:rsidR="00F04A22" w:rsidRPr="001D08AA" w:rsidRDefault="00F04A22" w:rsidP="00F04A22">
      <w:pPr>
        <w:pStyle w:val="Liststycke"/>
        <w:numPr>
          <w:ilvl w:val="0"/>
          <w:numId w:val="1"/>
        </w:numPr>
        <w:rPr>
          <w:rFonts w:ascii="Arial" w:hAnsi="Arial" w:cs="Arial"/>
        </w:rPr>
      </w:pPr>
      <w:r w:rsidRPr="001D08AA">
        <w:rPr>
          <w:rFonts w:ascii="Arial" w:hAnsi="Arial" w:cs="Arial"/>
        </w:rPr>
        <w:t>Två kravbrev till adress där det finns anledning att vittja brevlåda (folkbokförd på adress) räcker som bevis om en debitering bestrids</w:t>
      </w:r>
      <w:r w:rsidR="008362A3">
        <w:rPr>
          <w:rFonts w:ascii="Arial" w:hAnsi="Arial" w:cs="Arial"/>
        </w:rPr>
        <w:t xml:space="preserve"> med anledning ”jag har inte fått kraven”</w:t>
      </w:r>
      <w:r w:rsidRPr="001D08AA">
        <w:rPr>
          <w:rFonts w:ascii="Arial" w:hAnsi="Arial" w:cs="Arial"/>
        </w:rPr>
        <w:t xml:space="preserve">. </w:t>
      </w:r>
    </w:p>
    <w:p w14:paraId="48462A05" w14:textId="77777777" w:rsidR="00F04A22" w:rsidRPr="001D08AA" w:rsidRDefault="00F04A22" w:rsidP="00F04A22">
      <w:pPr>
        <w:pStyle w:val="Liststycke"/>
        <w:rPr>
          <w:rFonts w:ascii="Arial" w:hAnsi="Arial" w:cs="Arial"/>
        </w:rPr>
      </w:pPr>
    </w:p>
    <w:p w14:paraId="46C6EFF6" w14:textId="77777777" w:rsidR="00F04A22" w:rsidRPr="001D08AA" w:rsidRDefault="00F04A22" w:rsidP="00F04A22">
      <w:pPr>
        <w:pStyle w:val="Liststycke"/>
        <w:numPr>
          <w:ilvl w:val="0"/>
          <w:numId w:val="1"/>
        </w:numPr>
        <w:rPr>
          <w:rFonts w:ascii="Arial" w:hAnsi="Arial" w:cs="Arial"/>
        </w:rPr>
      </w:pPr>
      <w:r w:rsidRPr="001D08AA">
        <w:rPr>
          <w:rFonts w:ascii="Arial" w:hAnsi="Arial" w:cs="Arial"/>
        </w:rPr>
        <w:t>När det gäller dödsbon kan man aldrig kräva någon annan än dödsboet på avgifter. Alltså vi kan inte skicka krav till eventuella arvingar eller dylikt utan bara till dödsboet eller de som är ställföreträdande för dödsboet. I Sverige ärvs inte skulder.</w:t>
      </w:r>
    </w:p>
    <w:p w14:paraId="58F08AA8" w14:textId="77777777" w:rsidR="00F04A22" w:rsidRPr="001D08AA" w:rsidRDefault="00F04A22" w:rsidP="00F04A22">
      <w:pPr>
        <w:pStyle w:val="Liststycke"/>
        <w:rPr>
          <w:rFonts w:ascii="Arial" w:hAnsi="Arial" w:cs="Arial"/>
        </w:rPr>
      </w:pPr>
    </w:p>
    <w:p w14:paraId="2BE58BAF" w14:textId="7D3A28BF" w:rsidR="00F04A22" w:rsidRPr="001D08AA" w:rsidRDefault="00F04A22" w:rsidP="00F04A22">
      <w:pPr>
        <w:rPr>
          <w:rFonts w:ascii="Arial" w:hAnsi="Arial" w:cs="Arial"/>
        </w:rPr>
      </w:pPr>
      <w:r w:rsidRPr="001D08AA">
        <w:rPr>
          <w:rFonts w:ascii="Arial" w:hAnsi="Arial" w:cs="Arial"/>
        </w:rPr>
        <w:t xml:space="preserve">I princip allt </w:t>
      </w:r>
      <w:r w:rsidR="00E67036" w:rsidRPr="001D08AA">
        <w:rPr>
          <w:rFonts w:ascii="Arial" w:hAnsi="Arial" w:cs="Arial"/>
        </w:rPr>
        <w:t xml:space="preserve">rörande VA och RH </w:t>
      </w:r>
      <w:r w:rsidRPr="001D08AA">
        <w:rPr>
          <w:rFonts w:ascii="Arial" w:hAnsi="Arial" w:cs="Arial"/>
        </w:rPr>
        <w:t xml:space="preserve">styrs av lagar och regler i Sverige. </w:t>
      </w:r>
      <w:r w:rsidR="000B1BDA" w:rsidRPr="001D08AA">
        <w:rPr>
          <w:rFonts w:ascii="Arial" w:hAnsi="Arial" w:cs="Arial"/>
        </w:rPr>
        <w:t xml:space="preserve">(även avgifter) </w:t>
      </w:r>
      <w:r w:rsidR="000B1BDA" w:rsidRPr="001D08AA">
        <w:rPr>
          <w:rFonts w:ascii="Arial" w:hAnsi="Arial" w:cs="Arial"/>
        </w:rPr>
        <w:br/>
      </w:r>
      <w:r w:rsidRPr="001D08AA">
        <w:rPr>
          <w:rFonts w:ascii="Arial" w:hAnsi="Arial" w:cs="Arial"/>
        </w:rPr>
        <w:t xml:space="preserve">Det finns stöd i </w:t>
      </w:r>
      <w:r w:rsidR="00F66E48">
        <w:rPr>
          <w:rFonts w:ascii="Arial" w:hAnsi="Arial" w:cs="Arial"/>
        </w:rPr>
        <w:t xml:space="preserve">Kommunallagen, </w:t>
      </w:r>
      <w:r w:rsidRPr="001D08AA">
        <w:rPr>
          <w:rFonts w:ascii="Arial" w:hAnsi="Arial" w:cs="Arial"/>
        </w:rPr>
        <w:t>Vattentjänstlagen</w:t>
      </w:r>
      <w:r w:rsidR="00F66E48">
        <w:rPr>
          <w:rFonts w:ascii="Arial" w:hAnsi="Arial" w:cs="Arial"/>
        </w:rPr>
        <w:t xml:space="preserve"> och</w:t>
      </w:r>
      <w:r w:rsidRPr="001D08AA">
        <w:rPr>
          <w:rFonts w:ascii="Arial" w:hAnsi="Arial" w:cs="Arial"/>
        </w:rPr>
        <w:t xml:space="preserve"> Miljöbalken och även hos Naturvårdsverket kan man få hjälp om man behöver</w:t>
      </w:r>
      <w:r w:rsidR="000B1BDA" w:rsidRPr="001D08AA">
        <w:rPr>
          <w:rFonts w:ascii="Arial" w:hAnsi="Arial" w:cs="Arial"/>
        </w:rPr>
        <w:t xml:space="preserve"> när det gäller VA och RH</w:t>
      </w:r>
      <w:r w:rsidRPr="001D08AA">
        <w:rPr>
          <w:rFonts w:ascii="Arial" w:hAnsi="Arial" w:cs="Arial"/>
        </w:rPr>
        <w:t>.</w:t>
      </w:r>
    </w:p>
    <w:p w14:paraId="6F9D6240" w14:textId="5AA5F3EE" w:rsidR="00F04A22" w:rsidRPr="001D08AA" w:rsidRDefault="00F04A22" w:rsidP="00F04A22">
      <w:pPr>
        <w:rPr>
          <w:rFonts w:ascii="Arial" w:hAnsi="Arial" w:cs="Arial"/>
        </w:rPr>
      </w:pPr>
      <w:r w:rsidRPr="001D08AA">
        <w:rPr>
          <w:rFonts w:ascii="Arial" w:hAnsi="Arial" w:cs="Arial"/>
        </w:rPr>
        <w:t>Miljöbalken och andra lagar beslutas av Sveriges riksdag. Här nedan finns exempel på vad man kan hitta i Avfallsförordning (alltså inte i Miljöbalken).</w:t>
      </w:r>
      <w:r w:rsidRPr="001D08AA">
        <w:rPr>
          <w:rFonts w:ascii="Arial" w:hAnsi="Arial" w:cs="Arial"/>
          <w:noProof/>
        </w:rPr>
        <w:t xml:space="preserve"> </w:t>
      </w:r>
      <w:r w:rsidRPr="001D08AA">
        <w:rPr>
          <w:rFonts w:ascii="Arial" w:hAnsi="Arial" w:cs="Arial"/>
          <w:noProof/>
        </w:rPr>
        <w:br/>
        <w:t xml:space="preserve">I Miljöbalken finns stöd för regler runt Avfall i 15 kapitlet </w:t>
      </w:r>
    </w:p>
    <w:p w14:paraId="1F042427" w14:textId="77777777" w:rsidR="00F04A22" w:rsidRPr="001D08AA" w:rsidRDefault="00F04A22" w:rsidP="00F04A22">
      <w:pPr>
        <w:rPr>
          <w:rFonts w:ascii="Arial" w:hAnsi="Arial" w:cs="Arial"/>
        </w:rPr>
      </w:pPr>
    </w:p>
    <w:p w14:paraId="7CEBACD4" w14:textId="6516E1D5" w:rsidR="00F04A22" w:rsidRPr="001D08AA" w:rsidRDefault="00F04A22" w:rsidP="00F04A22">
      <w:pPr>
        <w:rPr>
          <w:rFonts w:ascii="Arial" w:hAnsi="Arial" w:cs="Arial"/>
        </w:rPr>
      </w:pPr>
      <w:r w:rsidRPr="001D08AA">
        <w:rPr>
          <w:rFonts w:ascii="Arial" w:hAnsi="Arial" w:cs="Arial"/>
        </w:rPr>
        <w:t>Om överklagan sker gällande dessa frågor slutar de i någon av dessa två:</w:t>
      </w:r>
    </w:p>
    <w:p w14:paraId="785237D9" w14:textId="77777777" w:rsidR="00F04A22" w:rsidRPr="001D08AA" w:rsidRDefault="00F04A22" w:rsidP="00F04A22">
      <w:pPr>
        <w:rPr>
          <w:rFonts w:ascii="Arial" w:hAnsi="Arial" w:cs="Arial"/>
        </w:rPr>
      </w:pPr>
      <w:r w:rsidRPr="001D08AA">
        <w:rPr>
          <w:rFonts w:ascii="Arial" w:hAnsi="Arial" w:cs="Arial"/>
        </w:rPr>
        <w:t>Högsta förvaltningsdomstolen</w:t>
      </w:r>
      <w:r w:rsidRPr="001D08AA">
        <w:rPr>
          <w:rFonts w:ascii="Arial" w:hAnsi="Arial" w:cs="Arial"/>
        </w:rPr>
        <w:br/>
        <w:t>Mark och Miljödomstolen</w:t>
      </w:r>
    </w:p>
    <w:p w14:paraId="6851F7E8" w14:textId="77777777" w:rsidR="00F04A22" w:rsidRDefault="00F04A22"/>
    <w:p w14:paraId="1974C77D" w14:textId="400B9F25" w:rsidR="00267D25" w:rsidRDefault="00954D37">
      <w:r>
        <w:rPr>
          <w:noProof/>
        </w:rPr>
        <w:drawing>
          <wp:inline distT="0" distB="0" distL="0" distR="0" wp14:anchorId="18E5231D" wp14:editId="4D200B93">
            <wp:extent cx="5760720" cy="6773545"/>
            <wp:effectExtent l="0" t="0" r="0" b="8255"/>
            <wp:docPr id="172294132" name="Bildobjekt 1" descr="En bild som visar text, skärmbild, Teckensnitt, dokumen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94132" name="Bildobjekt 1" descr="En bild som visar text, skärmbild, Teckensnitt, dokument&#10;&#10;AI-genererat innehåll kan vara felaktigt."/>
                    <pic:cNvPicPr/>
                  </pic:nvPicPr>
                  <pic:blipFill>
                    <a:blip r:embed="rId5"/>
                    <a:stretch>
                      <a:fillRect/>
                    </a:stretch>
                  </pic:blipFill>
                  <pic:spPr>
                    <a:xfrm>
                      <a:off x="0" y="0"/>
                      <a:ext cx="5760720" cy="6773545"/>
                    </a:xfrm>
                    <a:prstGeom prst="rect">
                      <a:avLst/>
                    </a:prstGeom>
                  </pic:spPr>
                </pic:pic>
              </a:graphicData>
            </a:graphic>
          </wp:inline>
        </w:drawing>
      </w:r>
    </w:p>
    <w:p w14:paraId="110FB1F1" w14:textId="4239D92D" w:rsidR="000D6A7E" w:rsidRDefault="000D6A7E"/>
    <w:p w14:paraId="13BA7D08" w14:textId="0B91663A" w:rsidR="00C77D78" w:rsidRDefault="00F66E48">
      <w:pPr>
        <w:rPr>
          <w:noProof/>
        </w:rPr>
      </w:pPr>
      <w:r>
        <w:rPr>
          <w:noProof/>
        </w:rPr>
        <w:lastRenderedPageBreak/>
        <w:drawing>
          <wp:inline distT="0" distB="0" distL="0" distR="0" wp14:anchorId="4EA097A8" wp14:editId="14943F39">
            <wp:extent cx="4168775" cy="8892540"/>
            <wp:effectExtent l="0" t="0" r="3175" b="3810"/>
            <wp:docPr id="788263686" name="Bildobjekt 1" descr="En bild som visar text, brev, skärmbild, Teckensnit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63686" name="Bildobjekt 1" descr="En bild som visar text, brev, skärmbild, Teckensnitt&#10;&#10;AI-genererat innehåll kan vara felaktigt."/>
                    <pic:cNvPicPr/>
                  </pic:nvPicPr>
                  <pic:blipFill>
                    <a:blip r:embed="rId6"/>
                    <a:stretch>
                      <a:fillRect/>
                    </a:stretch>
                  </pic:blipFill>
                  <pic:spPr>
                    <a:xfrm>
                      <a:off x="0" y="0"/>
                      <a:ext cx="4168775" cy="8892540"/>
                    </a:xfrm>
                    <a:prstGeom prst="rect">
                      <a:avLst/>
                    </a:prstGeom>
                  </pic:spPr>
                </pic:pic>
              </a:graphicData>
            </a:graphic>
          </wp:inline>
        </w:drawing>
      </w:r>
      <w:r w:rsidRPr="00F66E48">
        <w:rPr>
          <w:noProof/>
        </w:rPr>
        <w:t xml:space="preserve"> </w:t>
      </w:r>
      <w:r>
        <w:rPr>
          <w:noProof/>
        </w:rPr>
        <w:lastRenderedPageBreak/>
        <w:drawing>
          <wp:inline distT="0" distB="0" distL="0" distR="0" wp14:anchorId="542A52BB" wp14:editId="2159A24C">
            <wp:extent cx="5760720" cy="5852160"/>
            <wp:effectExtent l="0" t="0" r="0" b="0"/>
            <wp:docPr id="72051895" name="Bildobjekt 1" descr="En bild som visar text, skärmbild, Teckensnitt, dokumen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51895" name="Bildobjekt 1" descr="En bild som visar text, skärmbild, Teckensnitt, dokument&#10;&#10;AI-genererat innehåll kan vara felaktigt."/>
                    <pic:cNvPicPr/>
                  </pic:nvPicPr>
                  <pic:blipFill>
                    <a:blip r:embed="rId7"/>
                    <a:stretch>
                      <a:fillRect/>
                    </a:stretch>
                  </pic:blipFill>
                  <pic:spPr>
                    <a:xfrm>
                      <a:off x="0" y="0"/>
                      <a:ext cx="5760720" cy="5852160"/>
                    </a:xfrm>
                    <a:prstGeom prst="rect">
                      <a:avLst/>
                    </a:prstGeom>
                  </pic:spPr>
                </pic:pic>
              </a:graphicData>
            </a:graphic>
          </wp:inline>
        </w:drawing>
      </w:r>
    </w:p>
    <w:p w14:paraId="749C4508" w14:textId="2449420D" w:rsidR="00954D37" w:rsidRDefault="00954D37">
      <w:r>
        <w:rPr>
          <w:noProof/>
        </w:rPr>
        <w:lastRenderedPageBreak/>
        <w:drawing>
          <wp:inline distT="0" distB="0" distL="0" distR="0" wp14:anchorId="2977A705" wp14:editId="6904635B">
            <wp:extent cx="5760720" cy="8500745"/>
            <wp:effectExtent l="0" t="0" r="0" b="0"/>
            <wp:docPr id="753332330" name="Bildobjekt 1" descr="En bild som visar text, Teckensnitt, brev, papper&#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332330" name="Bildobjekt 1" descr="En bild som visar text, Teckensnitt, brev, papper&#10;&#10;AI-genererat innehåll kan vara felaktigt."/>
                    <pic:cNvPicPr/>
                  </pic:nvPicPr>
                  <pic:blipFill>
                    <a:blip r:embed="rId8"/>
                    <a:stretch>
                      <a:fillRect/>
                    </a:stretch>
                  </pic:blipFill>
                  <pic:spPr>
                    <a:xfrm>
                      <a:off x="0" y="0"/>
                      <a:ext cx="5760720" cy="8500745"/>
                    </a:xfrm>
                    <a:prstGeom prst="rect">
                      <a:avLst/>
                    </a:prstGeom>
                  </pic:spPr>
                </pic:pic>
              </a:graphicData>
            </a:graphic>
          </wp:inline>
        </w:drawing>
      </w:r>
    </w:p>
    <w:sectPr w:rsidR="00954D3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85D93"/>
    <w:multiLevelType w:val="hybridMultilevel"/>
    <w:tmpl w:val="D5D005CC"/>
    <w:lvl w:ilvl="0" w:tplc="12A0D250">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616778C4"/>
    <w:multiLevelType w:val="hybridMultilevel"/>
    <w:tmpl w:val="02003CEA"/>
    <w:lvl w:ilvl="0" w:tplc="777A145A">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504592692">
    <w:abstractNumId w:val="0"/>
  </w:num>
  <w:num w:numId="2" w16cid:durableId="127283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D25"/>
    <w:rsid w:val="00040A34"/>
    <w:rsid w:val="00083295"/>
    <w:rsid w:val="000B0378"/>
    <w:rsid w:val="000B1BDA"/>
    <w:rsid w:val="000B35F0"/>
    <w:rsid w:val="000B48C1"/>
    <w:rsid w:val="000B5CB1"/>
    <w:rsid w:val="000D6A7E"/>
    <w:rsid w:val="0013380D"/>
    <w:rsid w:val="00185AD5"/>
    <w:rsid w:val="001D08AA"/>
    <w:rsid w:val="00226A59"/>
    <w:rsid w:val="002361F5"/>
    <w:rsid w:val="00267D25"/>
    <w:rsid w:val="002877E3"/>
    <w:rsid w:val="003D31F8"/>
    <w:rsid w:val="004718BF"/>
    <w:rsid w:val="0047276F"/>
    <w:rsid w:val="0048162F"/>
    <w:rsid w:val="004A2110"/>
    <w:rsid w:val="004A363C"/>
    <w:rsid w:val="004A6146"/>
    <w:rsid w:val="004E7296"/>
    <w:rsid w:val="005011F0"/>
    <w:rsid w:val="00522BE1"/>
    <w:rsid w:val="00534318"/>
    <w:rsid w:val="0059318E"/>
    <w:rsid w:val="006621F9"/>
    <w:rsid w:val="00685433"/>
    <w:rsid w:val="006C2F95"/>
    <w:rsid w:val="0074249C"/>
    <w:rsid w:val="00813184"/>
    <w:rsid w:val="008362A3"/>
    <w:rsid w:val="00843CBC"/>
    <w:rsid w:val="008459E8"/>
    <w:rsid w:val="008734BD"/>
    <w:rsid w:val="008970FF"/>
    <w:rsid w:val="008D78FB"/>
    <w:rsid w:val="00954D37"/>
    <w:rsid w:val="00A47426"/>
    <w:rsid w:val="00A55BA1"/>
    <w:rsid w:val="00AC3ACF"/>
    <w:rsid w:val="00B040EA"/>
    <w:rsid w:val="00B76A68"/>
    <w:rsid w:val="00BF1473"/>
    <w:rsid w:val="00BF7195"/>
    <w:rsid w:val="00C476DA"/>
    <w:rsid w:val="00C77D78"/>
    <w:rsid w:val="00CB3D05"/>
    <w:rsid w:val="00DA0AF3"/>
    <w:rsid w:val="00DE26F6"/>
    <w:rsid w:val="00DF7318"/>
    <w:rsid w:val="00E67036"/>
    <w:rsid w:val="00E73890"/>
    <w:rsid w:val="00F04A22"/>
    <w:rsid w:val="00F66E48"/>
    <w:rsid w:val="00FD20E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B7C29"/>
  <w15:chartTrackingRefBased/>
  <w15:docId w15:val="{49C03791-1CE1-442F-9980-2957658DA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267D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267D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267D25"/>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267D25"/>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267D25"/>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267D25"/>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267D25"/>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267D25"/>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267D25"/>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267D25"/>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267D25"/>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267D25"/>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267D25"/>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267D25"/>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267D2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267D2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267D2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267D25"/>
    <w:rPr>
      <w:rFonts w:eastAsiaTheme="majorEastAsia" w:cstheme="majorBidi"/>
      <w:color w:val="272727" w:themeColor="text1" w:themeTint="D8"/>
    </w:rPr>
  </w:style>
  <w:style w:type="paragraph" w:styleId="Rubrik">
    <w:name w:val="Title"/>
    <w:basedOn w:val="Normal"/>
    <w:next w:val="Normal"/>
    <w:link w:val="RubrikChar"/>
    <w:uiPriority w:val="10"/>
    <w:qFormat/>
    <w:rsid w:val="00267D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267D2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267D25"/>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267D2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267D25"/>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267D25"/>
    <w:rPr>
      <w:i/>
      <w:iCs/>
      <w:color w:val="404040" w:themeColor="text1" w:themeTint="BF"/>
    </w:rPr>
  </w:style>
  <w:style w:type="paragraph" w:styleId="Liststycke">
    <w:name w:val="List Paragraph"/>
    <w:basedOn w:val="Normal"/>
    <w:uiPriority w:val="34"/>
    <w:qFormat/>
    <w:rsid w:val="00267D25"/>
    <w:pPr>
      <w:ind w:left="720"/>
      <w:contextualSpacing/>
    </w:pPr>
  </w:style>
  <w:style w:type="character" w:styleId="Starkbetoning">
    <w:name w:val="Intense Emphasis"/>
    <w:basedOn w:val="Standardstycketeckensnitt"/>
    <w:uiPriority w:val="21"/>
    <w:qFormat/>
    <w:rsid w:val="00267D25"/>
    <w:rPr>
      <w:i/>
      <w:iCs/>
      <w:color w:val="0F4761" w:themeColor="accent1" w:themeShade="BF"/>
    </w:rPr>
  </w:style>
  <w:style w:type="paragraph" w:styleId="Starktcitat">
    <w:name w:val="Intense Quote"/>
    <w:basedOn w:val="Normal"/>
    <w:next w:val="Normal"/>
    <w:link w:val="StarktcitatChar"/>
    <w:uiPriority w:val="30"/>
    <w:qFormat/>
    <w:rsid w:val="00267D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267D25"/>
    <w:rPr>
      <w:i/>
      <w:iCs/>
      <w:color w:val="0F4761" w:themeColor="accent1" w:themeShade="BF"/>
    </w:rPr>
  </w:style>
  <w:style w:type="character" w:styleId="Starkreferens">
    <w:name w:val="Intense Reference"/>
    <w:basedOn w:val="Standardstycketeckensnitt"/>
    <w:uiPriority w:val="32"/>
    <w:qFormat/>
    <w:rsid w:val="00267D25"/>
    <w:rPr>
      <w:b/>
      <w:bCs/>
      <w:smallCaps/>
      <w:color w:val="0F4761" w:themeColor="accent1" w:themeShade="BF"/>
      <w:spacing w:val="5"/>
    </w:rPr>
  </w:style>
  <w:style w:type="character" w:styleId="Hyperlnk">
    <w:name w:val="Hyperlink"/>
    <w:basedOn w:val="Standardstycketeckensnitt"/>
    <w:uiPriority w:val="99"/>
    <w:unhideWhenUsed/>
    <w:rsid w:val="0047276F"/>
    <w:rPr>
      <w:color w:val="467886" w:themeColor="hyperlink"/>
      <w:u w:val="single"/>
    </w:rPr>
  </w:style>
  <w:style w:type="character" w:styleId="Olstomnmnande">
    <w:name w:val="Unresolved Mention"/>
    <w:basedOn w:val="Standardstycketeckensnitt"/>
    <w:uiPriority w:val="99"/>
    <w:semiHidden/>
    <w:unhideWhenUsed/>
    <w:rsid w:val="0047276F"/>
    <w:rPr>
      <w:color w:val="605E5C"/>
      <w:shd w:val="clear" w:color="auto" w:fill="E1DFDD"/>
    </w:rPr>
  </w:style>
  <w:style w:type="paragraph" w:customStyle="1" w:styleId="Normal1">
    <w:name w:val="Normal1"/>
    <w:basedOn w:val="Normal"/>
    <w:rsid w:val="001D08AA"/>
    <w:pPr>
      <w:spacing w:before="100" w:beforeAutospacing="1" w:after="100" w:afterAutospacing="1" w:line="240" w:lineRule="auto"/>
    </w:pPr>
    <w:rPr>
      <w:rFonts w:ascii="Times New Roman" w:eastAsia="Times New Roman" w:hAnsi="Times New Roman" w:cs="Times New Roman"/>
      <w:kern w:val="0"/>
      <w:sz w:val="24"/>
      <w:szCs w:val="24"/>
      <w:lang w:eastAsia="sv-S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345047">
      <w:bodyDiv w:val="1"/>
      <w:marLeft w:val="0"/>
      <w:marRight w:val="0"/>
      <w:marTop w:val="0"/>
      <w:marBottom w:val="0"/>
      <w:divBdr>
        <w:top w:val="none" w:sz="0" w:space="0" w:color="auto"/>
        <w:left w:val="none" w:sz="0" w:space="0" w:color="auto"/>
        <w:bottom w:val="none" w:sz="0" w:space="0" w:color="auto"/>
        <w:right w:val="none" w:sz="0" w:space="0" w:color="auto"/>
      </w:divBdr>
      <w:divsChild>
        <w:div w:id="1590457474">
          <w:marLeft w:val="0"/>
          <w:marRight w:val="0"/>
          <w:marTop w:val="0"/>
          <w:marBottom w:val="0"/>
          <w:divBdr>
            <w:top w:val="none" w:sz="0" w:space="0" w:color="auto"/>
            <w:left w:val="none" w:sz="0" w:space="0" w:color="auto"/>
            <w:bottom w:val="none" w:sz="0" w:space="0" w:color="auto"/>
            <w:right w:val="none" w:sz="0" w:space="0" w:color="auto"/>
          </w:divBdr>
          <w:divsChild>
            <w:div w:id="1881896340">
              <w:marLeft w:val="0"/>
              <w:marRight w:val="0"/>
              <w:marTop w:val="0"/>
              <w:marBottom w:val="0"/>
              <w:divBdr>
                <w:top w:val="none" w:sz="0" w:space="0" w:color="auto"/>
                <w:left w:val="none" w:sz="0" w:space="0" w:color="auto"/>
                <w:bottom w:val="none" w:sz="0" w:space="0" w:color="auto"/>
                <w:right w:val="none" w:sz="0" w:space="0" w:color="auto"/>
              </w:divBdr>
            </w:div>
          </w:divsChild>
        </w:div>
        <w:div w:id="1982036756">
          <w:marLeft w:val="0"/>
          <w:marRight w:val="0"/>
          <w:marTop w:val="0"/>
          <w:marBottom w:val="0"/>
          <w:divBdr>
            <w:top w:val="none" w:sz="0" w:space="0" w:color="auto"/>
            <w:left w:val="none" w:sz="0" w:space="0" w:color="auto"/>
            <w:bottom w:val="none" w:sz="0" w:space="0" w:color="auto"/>
            <w:right w:val="none" w:sz="0" w:space="0" w:color="auto"/>
          </w:divBdr>
          <w:divsChild>
            <w:div w:id="1417820584">
              <w:marLeft w:val="0"/>
              <w:marRight w:val="0"/>
              <w:marTop w:val="0"/>
              <w:marBottom w:val="0"/>
              <w:divBdr>
                <w:top w:val="none" w:sz="0" w:space="0" w:color="auto"/>
                <w:left w:val="none" w:sz="0" w:space="0" w:color="auto"/>
                <w:bottom w:val="none" w:sz="0" w:space="0" w:color="auto"/>
                <w:right w:val="none" w:sz="0" w:space="0" w:color="auto"/>
              </w:divBdr>
              <w:divsChild>
                <w:div w:id="1487355180">
                  <w:blockQuote w:val="1"/>
                  <w:marLeft w:val="150"/>
                  <w:marRight w:val="15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964</Words>
  <Characters>5114</Characters>
  <Application>Microsoft Office Word</Application>
  <DocSecurity>4</DocSecurity>
  <Lines>42</Lines>
  <Paragraphs>12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Åsa Gustafsson</dc:creator>
  <cp:keywords/>
  <dc:description/>
  <cp:lastModifiedBy>Jenny Wallander</cp:lastModifiedBy>
  <cp:revision>2</cp:revision>
  <cp:lastPrinted>2025-02-17T11:49:00Z</cp:lastPrinted>
  <dcterms:created xsi:type="dcterms:W3CDTF">2025-03-07T12:50:00Z</dcterms:created>
  <dcterms:modified xsi:type="dcterms:W3CDTF">2025-03-07T12:50:00Z</dcterms:modified>
</cp:coreProperties>
</file>